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2198E" w:rsidRPr="009E6B02" w:rsidTr="00CB7223">
        <w:trPr>
          <w:trHeight w:val="742"/>
        </w:trPr>
        <w:tc>
          <w:tcPr>
            <w:tcW w:w="8312" w:type="dxa"/>
            <w:gridSpan w:val="4"/>
            <w:shd w:val="clear" w:color="auto" w:fill="auto"/>
          </w:tcPr>
          <w:p w:rsidR="0042198E" w:rsidRPr="009E6B02" w:rsidRDefault="0042198E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ΤΜΗΜΑ 112 ΣΥΣΤΗΜΑ ΠΡΟΣΔΙΟΡΙΣΜΟΥ ΙΣΟΤΟΠΙΚΟΥ ΛΟΓΟΥ ΜΕ ΦΑΣΜΑΤΟΓΡΑΦΙΑ ΜΑΖΩΝ (</w:t>
            </w:r>
            <w:r w:rsidRPr="009E6B02">
              <w:rPr>
                <w:rFonts w:eastAsia="Calibri"/>
                <w:b/>
                <w:szCs w:val="22"/>
              </w:rPr>
              <w:t>IRMS</w:t>
            </w:r>
            <w:r w:rsidRPr="009E6B02">
              <w:rPr>
                <w:rFonts w:eastAsia="Calibri"/>
                <w:b/>
                <w:szCs w:val="22"/>
                <w:lang w:val="el-GR"/>
              </w:rPr>
              <w:t>)</w:t>
            </w:r>
          </w:p>
          <w:p w:rsidR="0042198E" w:rsidRPr="009E6B02" w:rsidRDefault="0042198E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242.000,00€ (πλέον του ΦΠΑ)]</w:t>
            </w: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Επιτραπέζιος Φασματογράφος Μάζας Ισοτοπικού Λόγου (</w:t>
            </w:r>
            <w:r w:rsidRPr="009E6B02">
              <w:rPr>
                <w:rFonts w:eastAsia="Calibri"/>
                <w:szCs w:val="22"/>
              </w:rPr>
              <w:t>IRMS</w:t>
            </w:r>
            <w:r w:rsidRPr="009E6B02">
              <w:rPr>
                <w:rFonts w:eastAsia="Calibri"/>
                <w:szCs w:val="22"/>
                <w:lang w:val="el-GR"/>
              </w:rPr>
              <w:t>), που θα ακολουθείται από όλα τα απαραίτητα συστήματα προετοιμασίας με τα ακόλουθα ελάχιστα χαρακτηριστικά: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Α. ΕΠΙΤΡΑΠΕΖΙΟΣ ΦΑΣΜΑΤΟΓΡΑΦΟΣ ΜΑΖΑΣ ΙΣΟΤΟΠΙΚΟΥ ΛΟΓΟΥ (</w:t>
            </w:r>
            <w:r w:rsidRPr="009E6B02">
              <w:rPr>
                <w:rFonts w:eastAsia="Calibri"/>
                <w:szCs w:val="22"/>
              </w:rPr>
              <w:t>IRMS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Κατασκευή του αναλυτή από ανοξείδωτο χάλυβα με μεταλλικά μονωτικά στοιχεία, ώστε να εξασφαλίζεται υπέρ-καθαρό εσωτερικό περιβάλλον, με ελαχιστοποίηση της υγρασίας και επιμόλυνσης.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Εύρος μαζών: από 2  έως  90 </w:t>
            </w:r>
            <w:r w:rsidRPr="009E6B02">
              <w:rPr>
                <w:rFonts w:eastAsia="Calibri"/>
                <w:szCs w:val="22"/>
              </w:rPr>
              <w:t>AMU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Ευαισθησία: κάτω από 850 μόρια/ιόν για την μάζα 44 σε λειτουργία συνεχούς ροής (</w:t>
            </w:r>
            <w:r w:rsidRPr="009E6B02">
              <w:rPr>
                <w:rFonts w:eastAsia="Calibri"/>
                <w:szCs w:val="22"/>
              </w:rPr>
              <w:t>continuous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flow</w:t>
            </w:r>
            <w:r w:rsidRPr="009E6B02">
              <w:rPr>
                <w:rFonts w:eastAsia="Calibri"/>
                <w:szCs w:val="22"/>
                <w:lang w:val="el-GR"/>
              </w:rPr>
              <w:t>) και κάτω από 650 μόρια/ ιόν για την μάζα 44 σε λειτουργία διπλής εισαγωγής (</w:t>
            </w:r>
            <w:r w:rsidRPr="009E6B02">
              <w:rPr>
                <w:rFonts w:eastAsia="Calibri"/>
                <w:szCs w:val="22"/>
              </w:rPr>
              <w:t>dual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inlet</w:t>
            </w:r>
            <w:r w:rsidRPr="009E6B02">
              <w:rPr>
                <w:rFonts w:eastAsia="Calibri"/>
                <w:szCs w:val="22"/>
                <w:lang w:val="el-GR"/>
              </w:rPr>
              <w:t>).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Διακριτική ικανότητα: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/Δ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 110 (</w:t>
            </w:r>
            <w:r w:rsidRPr="009E6B02">
              <w:rPr>
                <w:rFonts w:eastAsia="Calibri"/>
                <w:szCs w:val="22"/>
              </w:rPr>
              <w:t>N</w:t>
            </w:r>
            <w:r w:rsidRPr="009E6B02">
              <w:rPr>
                <w:rFonts w:eastAsia="Calibri"/>
                <w:szCs w:val="22"/>
                <w:lang w:val="el-GR"/>
              </w:rPr>
              <w:t xml:space="preserve">2) 10% </w:t>
            </w:r>
            <w:r w:rsidRPr="009E6B02">
              <w:rPr>
                <w:rFonts w:eastAsia="Calibri"/>
                <w:szCs w:val="22"/>
              </w:rPr>
              <w:t>valley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definition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 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>/Δ</w:t>
            </w:r>
            <w:r w:rsidRPr="009E6B02">
              <w:rPr>
                <w:rFonts w:eastAsia="Calibri"/>
                <w:szCs w:val="22"/>
              </w:rPr>
              <w:t>m</w:t>
            </w:r>
            <w:r w:rsidRPr="009E6B02">
              <w:rPr>
                <w:rFonts w:eastAsia="Calibri"/>
                <w:szCs w:val="22"/>
                <w:lang w:val="el-GR"/>
              </w:rPr>
              <w:t xml:space="preserve"> 40 (</w:t>
            </w:r>
            <w:r w:rsidRPr="009E6B02">
              <w:rPr>
                <w:rFonts w:eastAsia="Calibri"/>
                <w:szCs w:val="22"/>
              </w:rPr>
              <w:t>H</w:t>
            </w:r>
            <w:r w:rsidRPr="009E6B02">
              <w:rPr>
                <w:rFonts w:eastAsia="Calibri"/>
                <w:szCs w:val="22"/>
                <w:lang w:val="el-GR"/>
              </w:rPr>
              <w:t xml:space="preserve">2) 10% </w:t>
            </w:r>
            <w:r w:rsidRPr="009E6B02">
              <w:rPr>
                <w:rFonts w:eastAsia="Calibri"/>
                <w:szCs w:val="22"/>
              </w:rPr>
              <w:t>valley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definition</w:t>
            </w:r>
            <w:r w:rsidRPr="009E6B02">
              <w:rPr>
                <w:rFonts w:eastAsia="Calibri"/>
                <w:szCs w:val="22"/>
                <w:lang w:val="el-GR"/>
              </w:rPr>
              <w:t>, τουλάχιστον.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Γραμμικότητα: &lt; 0.02‰ / </w:t>
            </w:r>
            <w:proofErr w:type="spellStart"/>
            <w:r w:rsidRPr="009E6B02">
              <w:rPr>
                <w:rFonts w:eastAsia="Calibri"/>
                <w:szCs w:val="22"/>
              </w:rPr>
              <w:t>nA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σε ένταση δέσμης 2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10-8 </w:t>
            </w:r>
            <w:r w:rsidRPr="009E6B02">
              <w:rPr>
                <w:rFonts w:eastAsia="Calibri"/>
                <w:szCs w:val="22"/>
              </w:rPr>
              <w:t>A</w:t>
            </w:r>
            <w:r w:rsidRPr="009E6B02">
              <w:rPr>
                <w:rFonts w:eastAsia="Calibri"/>
                <w:szCs w:val="22"/>
                <w:lang w:val="el-GR"/>
              </w:rPr>
              <w:t xml:space="preserve"> για το </w:t>
            </w:r>
            <w:r w:rsidRPr="009E6B02">
              <w:rPr>
                <w:rFonts w:eastAsia="Calibri"/>
                <w:szCs w:val="22"/>
              </w:rPr>
              <w:t>CO</w:t>
            </w:r>
            <w:r w:rsidRPr="009E6B02">
              <w:rPr>
                <w:rFonts w:eastAsia="Calibri"/>
                <w:szCs w:val="22"/>
                <w:lang w:val="el-GR"/>
              </w:rPr>
              <w:t>2.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Σταθερότητα και διόρθωση για το </w:t>
            </w:r>
            <w:r w:rsidRPr="009E6B02">
              <w:rPr>
                <w:rFonts w:eastAsia="Calibri"/>
                <w:szCs w:val="22"/>
              </w:rPr>
              <w:t>H</w:t>
            </w:r>
            <w:r w:rsidRPr="009E6B02">
              <w:rPr>
                <w:rFonts w:eastAsia="Calibri"/>
                <w:szCs w:val="22"/>
                <w:lang w:val="el-GR"/>
              </w:rPr>
              <w:t xml:space="preserve">3+ : &lt;5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proofErr w:type="spellStart"/>
            <w:r w:rsidRPr="009E6B02">
              <w:rPr>
                <w:rFonts w:eastAsia="Calibri"/>
                <w:szCs w:val="22"/>
              </w:rPr>
              <w:t>nA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και &lt;0.03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proofErr w:type="spellStart"/>
            <w:r w:rsidRPr="009E6B02">
              <w:rPr>
                <w:rFonts w:eastAsia="Calibri"/>
                <w:szCs w:val="22"/>
              </w:rPr>
              <w:t>nA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hour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Να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π</w:t>
            </w:r>
            <w:proofErr w:type="spellStart"/>
            <w:r w:rsidRPr="009E6B02">
              <w:rPr>
                <w:rFonts w:eastAsia="Calibri"/>
                <w:szCs w:val="22"/>
              </w:rPr>
              <w:t>ρογρ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αμματιζόμενο </w:t>
            </w:r>
            <w:proofErr w:type="spellStart"/>
            <w:r w:rsidRPr="009E6B02">
              <w:rPr>
                <w:rFonts w:eastAsia="Calibri"/>
                <w:szCs w:val="22"/>
              </w:rPr>
              <w:t>ηλεκτρομ</w:t>
            </w:r>
            <w:proofErr w:type="spellEnd"/>
            <w:r w:rsidRPr="009E6B02">
              <w:rPr>
                <w:rFonts w:eastAsia="Calibri"/>
                <w:szCs w:val="22"/>
              </w:rPr>
              <w:t>αγνήτη.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διαθέτει υψηλής ευαισθησίας πηγή ιόντων κρούσης ηλεκτρονίων (</w:t>
            </w:r>
            <w:r w:rsidRPr="009E6B02">
              <w:rPr>
                <w:rFonts w:eastAsia="Calibri"/>
                <w:szCs w:val="22"/>
              </w:rPr>
              <w:t>Electron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Impact</w:t>
            </w:r>
            <w:r w:rsidRPr="009E6B02">
              <w:rPr>
                <w:rFonts w:eastAsia="Calibri"/>
                <w:szCs w:val="22"/>
                <w:lang w:val="el-GR"/>
              </w:rPr>
              <w:t xml:space="preserve">) με ειδικά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επενδεδυμένο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νήμα εκπομπής ηλεκτρονίων και ελικοειδή διαδρομή τους έως την παγίδα της πηγής ή αντίστοιχη τεχνική για την αύξηση των κρούσεων των ηλεκτρονίων με τα μόρια του δείγματος και κατ’ επέκταση την αύξηση της ευαισθησίας.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εισαγωγή δείγματος σε τριχοειδές </w:t>
            </w:r>
            <w:r w:rsidRPr="009E6B02">
              <w:rPr>
                <w:rFonts w:eastAsia="Calibri"/>
                <w:szCs w:val="22"/>
              </w:rPr>
              <w:t>interface</w:t>
            </w:r>
            <w:r w:rsidRPr="009E6B02">
              <w:rPr>
                <w:rFonts w:eastAsia="Calibri"/>
                <w:szCs w:val="22"/>
                <w:lang w:val="el-GR"/>
              </w:rPr>
              <w:t>, μηδενικού νεκρού όγκου που θα επιτρέπει την χρήση μεθόδων συνεχούς ροής.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βρόγχο παγίδευσης αερίου για την 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βσθμονόμηση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επικύνδυνων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αερίων όπως </w:t>
            </w:r>
            <w:r w:rsidRPr="009E6B02">
              <w:rPr>
                <w:rFonts w:eastAsia="Calibri"/>
                <w:szCs w:val="22"/>
              </w:rPr>
              <w:t>CO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SO</w:t>
            </w:r>
            <w:r w:rsidRPr="009E6B02">
              <w:rPr>
                <w:rFonts w:eastAsia="Calibri"/>
                <w:szCs w:val="22"/>
                <w:lang w:val="el-GR"/>
              </w:rPr>
              <w:t>2, μέσω καύσης προτύπου στον στοιχειακό αναλυτή, χωρίς την χρήση φιάλης αυτών.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Με πλήρες σύστημα κενού με χρήση δύο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στροβιλομοριακών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αντλιών ικανότητας τουλάχιστον 70 </w:t>
            </w:r>
            <w:r w:rsidRPr="009E6B02">
              <w:rPr>
                <w:rFonts w:eastAsia="Calibri"/>
                <w:szCs w:val="22"/>
              </w:rPr>
              <w:t>L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sec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κάθε μία και αντλίας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διβάθμιας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περιστροφικής, για την επίτευξη απόλυτου κενού 10-9</w:t>
            </w:r>
            <w:r w:rsidRPr="009E6B02">
              <w:rPr>
                <w:rFonts w:eastAsia="Calibri"/>
                <w:szCs w:val="22"/>
              </w:rPr>
              <w:t>mbar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Σύστημα τριπλού συλλέκτη </w:t>
            </w:r>
            <w:r w:rsidRPr="009E6B02">
              <w:rPr>
                <w:rFonts w:eastAsia="Calibri"/>
                <w:szCs w:val="22"/>
              </w:rPr>
              <w:t>Faraday</w:t>
            </w:r>
            <w:r w:rsidRPr="009E6B02">
              <w:rPr>
                <w:rFonts w:eastAsia="Calibri"/>
                <w:szCs w:val="22"/>
                <w:lang w:val="el-GR"/>
              </w:rPr>
              <w:t>, για την συλλογή  μαζών, χωρίς την ανάγκη ρύθμισης των συλλεκτών ή των ενισχυτών.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διαθέτει τουλάχιστον τρεις (3) εισόδους αερίων αναφοράς για την βαθμονόμηση.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Σύστημα ελέγχου-προγραμματισμού λειτουργίας &amp; επεξεργασίας αποτελεσμάτων με κατάλληλο λογισμικό και πλήρη υπολογιστή με έγχρωμη οθόνη </w:t>
            </w:r>
            <w:r w:rsidRPr="009E6B02">
              <w:rPr>
                <w:rFonts w:eastAsia="Calibri"/>
                <w:szCs w:val="22"/>
              </w:rPr>
              <w:t>LED</w:t>
            </w:r>
            <w:r w:rsidRPr="009E6B02">
              <w:rPr>
                <w:rFonts w:eastAsia="Calibri"/>
                <w:szCs w:val="22"/>
                <w:lang w:val="el-GR"/>
              </w:rPr>
              <w:t xml:space="preserve"> 24’’ τουλάχιστον. 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Λογισμικό σε περιβάλλον </w:t>
            </w:r>
            <w:r w:rsidRPr="009E6B02">
              <w:rPr>
                <w:rFonts w:eastAsia="Calibri"/>
                <w:szCs w:val="22"/>
              </w:rPr>
              <w:t>Windows</w:t>
            </w:r>
            <w:r w:rsidRPr="009E6B02">
              <w:rPr>
                <w:rFonts w:eastAsia="Calibri"/>
                <w:szCs w:val="22"/>
                <w:lang w:val="el-GR"/>
              </w:rPr>
              <w:t>, που να εξασφαλίζει τον έλεγχο όλων των παραμέτρων λειτουργίας του συστήματος, αυτόματη εναλλαγή μεταξύ των διαφορετικών μεθόδων προετοιμασίας και πλήρη έλεγχο στις παραμέτρους της πηγής ιονισμού.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περιλαμβάνεται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κιτ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ανταλλακτικών / αναλωσίμων αρχικής λειτουργίας.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Β. ΣΥΣΤΗΜΑ ΣΤΟΙΧΕΙΑΚΗΣ ΑΝΑΛΥΣΗΣ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σύστημα να είναι έτοιμο για σύνδεση με το </w:t>
            </w:r>
            <w:r w:rsidRPr="009E6B02">
              <w:rPr>
                <w:rFonts w:eastAsia="Calibri"/>
                <w:szCs w:val="22"/>
              </w:rPr>
              <w:t>IRMS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να προγραμματίζεται από το κεντρικό λογισμικό του </w:t>
            </w:r>
            <w:r w:rsidRPr="009E6B02">
              <w:rPr>
                <w:rFonts w:eastAsia="Calibri"/>
                <w:szCs w:val="22"/>
              </w:rPr>
              <w:t>IRMS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διαθέτει ανιχνευτή θερμικής αγωγιμότητας (</w:t>
            </w:r>
            <w:r w:rsidRPr="009E6B02">
              <w:rPr>
                <w:rFonts w:eastAsia="Calibri"/>
                <w:szCs w:val="22"/>
              </w:rPr>
              <w:t>TCD</w:t>
            </w:r>
            <w:r w:rsidRPr="009E6B02">
              <w:rPr>
                <w:rFonts w:eastAsia="Calibri"/>
                <w:szCs w:val="22"/>
                <w:lang w:val="el-GR"/>
              </w:rPr>
              <w:t xml:space="preserve">) υψηλής ευαισθησίας, με όριο ανίχνευσης &lt; 50 </w:t>
            </w:r>
            <w:r w:rsidRPr="009E6B02">
              <w:rPr>
                <w:rFonts w:eastAsia="Calibri"/>
                <w:szCs w:val="22"/>
              </w:rPr>
              <w:t>ppm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περιλαμβάνει 2 φούρνους, με δυνατότητα ρύθμισης θερμοκρασίας μέχρι τους 1100ο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τουλάχιστον, ο ένας να είναι κατάλληλος για καύση και πυρόλυση και ο άλλος να είναι κατάλληλος για αναγωγή.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περιλαμβάνει επίσης φούρνο πυρόλυσης με δυνατότητα ρύθμισης θερμοκρασίας μέχρι τους 1450ο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τουλάχιστον, για τον προσδιορισμό των ισοτόπων 18Ο και 2Η με υψηλή ακρίβεια.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Επίσης να διαθέτει φούρνο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χρωματογραφικής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στήλης θερμαινόμενο ισόθερμα έως τους 250ο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χρησιμοποιεί φέρον αέριο </w:t>
            </w:r>
            <w:r w:rsidRPr="009E6B02">
              <w:rPr>
                <w:rFonts w:eastAsia="Calibri"/>
                <w:szCs w:val="22"/>
              </w:rPr>
              <w:t>He</w:t>
            </w:r>
            <w:r w:rsidRPr="009E6B02">
              <w:rPr>
                <w:rFonts w:eastAsia="Calibri"/>
                <w:szCs w:val="22"/>
                <w:lang w:val="el-GR"/>
              </w:rPr>
              <w:t xml:space="preserve"> υψηλής καθαρότητας.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έχει δυνατότητα στοιχειακής ανάλυσης 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N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ταυτόχρονα.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Σε συνδυασμό με το </w:t>
            </w:r>
            <w:r w:rsidRPr="009E6B02">
              <w:rPr>
                <w:rFonts w:eastAsia="Calibri"/>
                <w:szCs w:val="22"/>
              </w:rPr>
              <w:t>IRMS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 σύστημα να διαθέτει ακρίβεια προσδιορισμού του ισοτόπου 13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στην καύση  τουλάχιστον 0.1 ‰, του ισοτόπου 15Ν στην καύση τουλάχιστον 0.15‰, του ισοτόπου 34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στην καύση τουλάχιστον 0.3‰, του ισοτόπου 18</w:t>
            </w:r>
            <w:r w:rsidRPr="009E6B02">
              <w:rPr>
                <w:rFonts w:eastAsia="Calibri"/>
                <w:szCs w:val="22"/>
              </w:rPr>
              <w:t>O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στην πυρόλυση τουλάχιστον 0.3 ‰ και του ισοτόπου </w:t>
            </w:r>
            <w:r w:rsidRPr="009E6B02">
              <w:rPr>
                <w:rFonts w:eastAsia="Calibri"/>
                <w:szCs w:val="22"/>
              </w:rPr>
              <w:t>D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δευτέριο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) στην πυρόλυση τουλάχιστον 1.5 ‰.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ακολουθείται από αυτόματο δειγματολήπτη στερεών με ικανότητα μηδενικού τυφλού (</w:t>
            </w:r>
            <w:r w:rsidRPr="009E6B02">
              <w:rPr>
                <w:rFonts w:eastAsia="Calibri"/>
                <w:szCs w:val="22"/>
              </w:rPr>
              <w:t>zero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blank</w:t>
            </w:r>
            <w:r w:rsidRPr="009E6B02">
              <w:rPr>
                <w:rFonts w:eastAsia="Calibri"/>
                <w:szCs w:val="22"/>
                <w:lang w:val="el-GR"/>
              </w:rPr>
              <w:t>).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Γ. ΓΕΝΙΚΑ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ακολουθείται από τις αντίστοιχες φιάλες αερίων (</w:t>
            </w:r>
            <w:r w:rsidRPr="009E6B02">
              <w:rPr>
                <w:rFonts w:eastAsia="Calibri"/>
                <w:szCs w:val="22"/>
              </w:rPr>
              <w:t>He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CO</w:t>
            </w:r>
            <w:r w:rsidRPr="009E6B02">
              <w:rPr>
                <w:rFonts w:eastAsia="Calibri"/>
                <w:szCs w:val="22"/>
                <w:lang w:val="el-GR"/>
              </w:rPr>
              <w:t xml:space="preserve">2, Ν, </w:t>
            </w:r>
            <w:r w:rsidRPr="009E6B02">
              <w:rPr>
                <w:rFonts w:eastAsia="Calibri"/>
                <w:szCs w:val="22"/>
              </w:rPr>
              <w:t>O</w:t>
            </w:r>
            <w:r w:rsidRPr="009E6B02">
              <w:rPr>
                <w:rFonts w:eastAsia="Calibri"/>
                <w:szCs w:val="22"/>
                <w:lang w:val="el-GR"/>
              </w:rPr>
              <w:t>2) με τα μανόμετρά τους.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ακολουθείται από αναλώσιμα, όπως φιαλίδια, χωνευτήρια, </w:t>
            </w:r>
            <w:r w:rsidRPr="009E6B02">
              <w:rPr>
                <w:rFonts w:eastAsia="Calibri"/>
                <w:szCs w:val="22"/>
              </w:rPr>
              <w:t>septa</w:t>
            </w:r>
            <w:r w:rsidRPr="009E6B02">
              <w:rPr>
                <w:rFonts w:eastAsia="Calibri"/>
                <w:szCs w:val="22"/>
                <w:lang w:val="el-GR"/>
              </w:rPr>
              <w:t xml:space="preserve">, καταλύτες κ.λπ. για τουλάχιστον 5000 αναλύσεις 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N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S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ακολουθείται από όλες τις ουσίες και πρότυπα ισοτόπων που απαιτούνται για την βαθμονόμηση και τις αναλύσεις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κολαγόνου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οστών για χρονολόγηση, για τουλάχιστον ένα έτος λειτουργίας.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ακολουθείται από κατάλληλο σύστημα αδιάλειπτης παροχής ρεύματος (</w:t>
            </w:r>
            <w:r w:rsidRPr="009E6B02">
              <w:rPr>
                <w:rFonts w:eastAsia="Calibri"/>
                <w:szCs w:val="22"/>
              </w:rPr>
              <w:t>online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UPS</w:t>
            </w:r>
            <w:r w:rsidRPr="009E6B02">
              <w:rPr>
                <w:rFonts w:eastAsia="Calibri"/>
                <w:szCs w:val="22"/>
                <w:lang w:val="el-GR"/>
              </w:rPr>
              <w:t>), ισχύος μεγαλύτερης από την αθροιστική ισχύ όλων των επιμέρους τμημάτων του συστήματος.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να ακολουθείται από τουλάχιστον δυο (2) χρόνια εγγύηση.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2198E" w:rsidRPr="009E6B02" w:rsidTr="00CB7223">
        <w:tc>
          <w:tcPr>
            <w:tcW w:w="811" w:type="dxa"/>
            <w:shd w:val="clear" w:color="auto" w:fill="auto"/>
          </w:tcPr>
          <w:p w:rsidR="0042198E" w:rsidRPr="009E6B02" w:rsidRDefault="0042198E" w:rsidP="004219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και ο κατασκευαστής να διαθέτουν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9001.</w:t>
            </w:r>
          </w:p>
        </w:tc>
        <w:tc>
          <w:tcPr>
            <w:tcW w:w="77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2198E" w:rsidRPr="009E6B02" w:rsidRDefault="0042198E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C07AF6" w:rsidRPr="0042198E" w:rsidRDefault="00C07AF6">
      <w:pPr>
        <w:rPr>
          <w:lang w:val="el-GR"/>
        </w:rPr>
      </w:pPr>
      <w:bookmarkStart w:id="0" w:name="_GoBack"/>
      <w:bookmarkEnd w:id="0"/>
    </w:p>
    <w:sectPr w:rsidR="00C07AF6" w:rsidRPr="004219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046DDD"/>
    <w:multiLevelType w:val="multilevel"/>
    <w:tmpl w:val="21229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8E"/>
    <w:rsid w:val="0042198E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770E8-2DF3-4924-A38A-155A7CAF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198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2024-09-24T11:04:00Z</dcterms:created>
  <dcterms:modified xsi:type="dcterms:W3CDTF">2024-09-24T11:05:00Z</dcterms:modified>
</cp:coreProperties>
</file>